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20231001410</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深圳爱彼爱科技有限公司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91440300MA5HR28727</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深圳市南山区高新南九道45号西北工业大学三航科技大厦410单元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13612837695</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刘永祥</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231027198209221016</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深圳市南山区高新南九道45号西北工业大学三航科技大厦410单元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13612837695</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410</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117.86</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2023年10月1日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2024年9月30日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14378.92</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壹万肆仟叁佰柒拾捌圆玖角贰分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2023年10月5日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14378.92</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壹万肆仟叁佰柒拾捌圆玖角贰分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28757.84</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贰万捌仟柒佰伍拾柒圆捌角肆分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2023年10月1日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深圳爱彼爱科技有限公司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深圳爱彼爱科技有限公司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13612837695</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